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7B" w:rsidRPr="00D9567A" w:rsidRDefault="006F4C3D" w:rsidP="0043417B">
      <w:pPr>
        <w:spacing w:after="120" w:line="240" w:lineRule="auto"/>
        <w:rPr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-958215</wp:posOffset>
                </wp:positionV>
                <wp:extent cx="7348220" cy="2004695"/>
                <wp:effectExtent l="0" t="0" r="5080" b="0"/>
                <wp:wrapNone/>
                <wp:docPr id="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8220" cy="2004695"/>
                          <a:chOff x="0" y="0"/>
                          <a:chExt cx="11917" cy="3157"/>
                        </a:xfrm>
                      </wpg:grpSpPr>
                      <wpg:grpSp>
                        <wpg:cNvPr id="9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0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FAE2" id="Group 102" o:spid="_x0000_s1026" style="position:absolute;margin-left:-31.7pt;margin-top:-75.45pt;width:578.6pt;height:157.85pt;z-index:-25165414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6msEA&#10;AADbAAAADwAAAGRycy9kb3ducmV2LnhtbESPQWsCMRCF74L/IYzgTbNVKrI1ighCwVNVKL0Nm+nu&#10;0mQSkqjbf+8cCr3N8N68981mN3in7pRyH9jAy7wCRdwE23Nr4Ho5ztagckG26AKTgV/KsNuORxus&#10;bXjwB93PpVUSwrlGA10psdY6Nx15zPMQiUX7DsljkTW12iZ8SLh3elFVK+2xZ2noMNKho+bnfPMG&#10;XENffSxxvbwc4+fp1e5durXGTCfD/g1UoaH8m/+u363gC738IgP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0+prBAAAA2wAAAA8AAAAAAAAAAAAAAAAAmAIAAGRycy9kb3du&#10;cmV2LnhtbFBLBQYAAAAABAAEAPUAAACGAwAAAAA=&#10;" fillcolor="#7197ca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YWMIA&#10;AADbAAAADwAAAGRycy9kb3ducmV2LnhtbERPS4vCMBC+C/sfwix407QLPqhGKYKwHoTVXWH3NjRj&#10;W2wmJYm1/nuzIHibj+85y3VvGtGR87VlBek4AUFcWF1zqeDnezuag/ABWWNjmRTcycN69TZYYqbt&#10;jQ/UHUMpYgj7DBVUIbSZlL6oyKAf25Y4cmfrDIYIXSm1w1sMN438SJKpNFhzbKiwpU1FxeV4NQpm&#10;9186T7u2qyd/ycnt868i3eVKDd/7fAEiUB9e4qf7U8f5Kfz/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9hYwgAAANsAAAAPAAAAAAAAAAAAAAAAAJgCAABkcnMvZG93&#10;bnJldi54bWxQSwUGAAAAAAQABAD1AAAAhwMAAAAA&#10;" fillcolor="#7197ca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GL8MA&#10;AADbAAAADwAAAGRycy9kb3ducmV2LnhtbERPyWrDMBC9F/IPYgK9NbIDdYMTxZhAoT0U2iyQ3AZr&#10;YptYIyOpjv33VaHQ2zzeOptiNJ0YyPnWsoJ0kYAgrqxuuVZwPLw+rUD4gKyxs0wKJvJQbGcPG8y1&#10;vfMXDftQixjCPkcFTQh9LqWvGjLoF7YnjtzVOoMhQldL7fAew00nl0mSSYMtx4YGe9o1VN3230bB&#10;y3Smazb0Q/t8SU7uo/ys0vdSqcf5WK5BBBrDv/jP/abj/CX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1GL8MAAADbAAAADwAAAAAAAAAAAAAAAACYAgAAZHJzL2Rv&#10;d25yZXYueG1sUEsFBgAAAAAEAAQA9QAAAIgD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S+O/AAAA2wAAAA8AAABkcnMvZG93bnJldi54bWxET02LwjAQvQv+hzCCN027gq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s0vjvwAAANsAAAAPAAAAAAAAAAAAAAAAAJ8CAABk&#10;cnMvZG93bnJldi54bWxQSwUGAAAAAAQABAD3AAAAiwMAAAAA&#10;">
                  <v:imagedata r:id="rId6" o:title="bandeau_logo_p1"/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298" distR="114298" simplePos="0" relativeHeight="251661312" behindDoc="0" locked="1" layoutInCell="1" allowOverlap="1">
                <wp:simplePos x="0" y="0"/>
                <wp:positionH relativeFrom="page">
                  <wp:posOffset>7437119</wp:posOffset>
                </wp:positionH>
                <wp:positionV relativeFrom="page">
                  <wp:posOffset>0</wp:posOffset>
                </wp:positionV>
                <wp:extent cx="0" cy="10692130"/>
                <wp:effectExtent l="114300" t="0" r="133350" b="13970"/>
                <wp:wrapNone/>
                <wp:docPr id="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1287" id="Line 9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be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CukMbe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298" distR="114298" simplePos="0" relativeHeight="251660288" behindDoc="0" locked="1" layoutInCell="1" allowOverlap="1">
                <wp:simplePos x="0" y="0"/>
                <wp:positionH relativeFrom="page">
                  <wp:posOffset>178434</wp:posOffset>
                </wp:positionH>
                <wp:positionV relativeFrom="page">
                  <wp:posOffset>381000</wp:posOffset>
                </wp:positionV>
                <wp:extent cx="0" cy="10692130"/>
                <wp:effectExtent l="114300" t="0" r="133350" b="13970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CFFE" id="Line 9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4.05pt,30pt" to="14.05pt,8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8/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2" w:type="dxa"/>
        <w:tblBorders>
          <w:insideH w:val="single" w:sz="4" w:space="0" w:color="0062A9"/>
          <w:insideV w:val="single" w:sz="4" w:space="0" w:color="7197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43417B" w:rsidRPr="00D9567A" w:rsidTr="00FF3373">
        <w:trPr>
          <w:trHeight w:val="720"/>
        </w:trPr>
        <w:tc>
          <w:tcPr>
            <w:tcW w:w="590" w:type="dxa"/>
            <w:shd w:val="clear" w:color="auto" w:fill="7197CA"/>
          </w:tcPr>
          <w:p w:rsidR="0043417B" w:rsidRPr="00D9567A" w:rsidRDefault="0043417B" w:rsidP="00FF3373">
            <w:pPr>
              <w:spacing w:after="120" w:line="240" w:lineRule="auto"/>
              <w:rPr>
                <w:lang w:val="hu-HU"/>
              </w:rPr>
            </w:pPr>
          </w:p>
        </w:tc>
        <w:tc>
          <w:tcPr>
            <w:tcW w:w="9989" w:type="dxa"/>
            <w:shd w:val="clear" w:color="auto" w:fill="7197CA"/>
          </w:tcPr>
          <w:p w:rsidR="0043417B" w:rsidRPr="00D9567A" w:rsidRDefault="0043417B" w:rsidP="00FF3373">
            <w:pPr>
              <w:pStyle w:val="Cmsor1"/>
              <w:spacing w:after="120" w:line="240" w:lineRule="auto"/>
              <w:rPr>
                <w:rFonts w:ascii="Arial" w:hAnsi="Arial" w:cs="Arial"/>
                <w:bCs/>
                <w:color w:val="FFFFFF"/>
                <w:sz w:val="58"/>
                <w:szCs w:val="32"/>
                <w:lang w:val="hu-HU"/>
              </w:rPr>
            </w:pPr>
            <w:r w:rsidRPr="00D9567A">
              <w:rPr>
                <w:rFonts w:ascii="Arial" w:hAnsi="Arial" w:cs="Arial"/>
                <w:bCs/>
                <w:color w:val="FFFFFF"/>
                <w:sz w:val="52"/>
                <w:szCs w:val="32"/>
                <w:lang w:val="hu-HU"/>
              </w:rPr>
              <w:t>Sajtóközlemény</w:t>
            </w:r>
          </w:p>
          <w:p w:rsidR="0043417B" w:rsidRPr="00D9567A" w:rsidRDefault="004C0F12" w:rsidP="009846FE">
            <w:pPr>
              <w:pStyle w:val="Dateetsous-titre"/>
              <w:spacing w:after="120" w:line="240" w:lineRule="auto"/>
              <w:rPr>
                <w:b/>
                <w:lang w:val="hu-HU"/>
              </w:rPr>
            </w:pPr>
            <w:r>
              <w:rPr>
                <w:b/>
                <w:sz w:val="24"/>
                <w:lang w:val="hu-HU"/>
              </w:rPr>
              <w:t>Budapest, 2016</w:t>
            </w:r>
            <w:r w:rsidR="0043417B" w:rsidRPr="00D9567A">
              <w:rPr>
                <w:b/>
                <w:sz w:val="24"/>
                <w:lang w:val="hu-HU"/>
              </w:rPr>
              <w:t xml:space="preserve">. </w:t>
            </w:r>
            <w:r w:rsidR="004D51D4">
              <w:rPr>
                <w:b/>
                <w:sz w:val="24"/>
                <w:lang w:val="hu-HU"/>
              </w:rPr>
              <w:t>június</w:t>
            </w:r>
            <w:r w:rsidR="00097893">
              <w:rPr>
                <w:b/>
                <w:sz w:val="24"/>
                <w:lang w:val="hu-HU"/>
              </w:rPr>
              <w:t xml:space="preserve"> </w:t>
            </w:r>
            <w:r w:rsidR="004D51D4">
              <w:rPr>
                <w:b/>
                <w:sz w:val="24"/>
                <w:lang w:val="hu-HU"/>
              </w:rPr>
              <w:t>0</w:t>
            </w:r>
            <w:r w:rsidR="009846FE">
              <w:rPr>
                <w:b/>
                <w:sz w:val="24"/>
                <w:lang w:val="hu-HU"/>
              </w:rPr>
              <w:t>6</w:t>
            </w:r>
            <w:r w:rsidR="0043417B" w:rsidRPr="00D9567A">
              <w:rPr>
                <w:b/>
                <w:sz w:val="24"/>
                <w:lang w:val="hu-HU"/>
              </w:rPr>
              <w:t>.</w:t>
            </w:r>
          </w:p>
        </w:tc>
        <w:tc>
          <w:tcPr>
            <w:tcW w:w="591" w:type="dxa"/>
            <w:shd w:val="clear" w:color="auto" w:fill="7197CA"/>
          </w:tcPr>
          <w:p w:rsidR="0043417B" w:rsidRPr="00D9567A" w:rsidRDefault="0043417B" w:rsidP="00FF3373">
            <w:pPr>
              <w:spacing w:after="120" w:line="240" w:lineRule="auto"/>
              <w:rPr>
                <w:lang w:val="hu-HU"/>
              </w:rPr>
            </w:pPr>
          </w:p>
        </w:tc>
      </w:tr>
    </w:tbl>
    <w:p w:rsidR="0043417B" w:rsidRPr="00D9567A" w:rsidRDefault="0043417B" w:rsidP="0043417B">
      <w:pPr>
        <w:spacing w:after="120" w:line="240" w:lineRule="auto"/>
        <w:rPr>
          <w:bCs/>
          <w:lang w:val="hu-HU"/>
        </w:rPr>
      </w:pPr>
    </w:p>
    <w:p w:rsidR="00E40480" w:rsidRDefault="00E40480" w:rsidP="007B6085">
      <w:pPr>
        <w:spacing w:after="120" w:line="240" w:lineRule="auto"/>
        <w:rPr>
          <w:rFonts w:ascii="Calibri" w:hAnsi="Calibri" w:cs="Arial"/>
          <w:b/>
          <w:color w:val="auto"/>
          <w:sz w:val="22"/>
          <w:szCs w:val="22"/>
          <w:lang w:val="hu-HU" w:eastAsia="hu-HU"/>
        </w:rPr>
      </w:pPr>
    </w:p>
    <w:p w:rsidR="00E40480" w:rsidRDefault="00E40480" w:rsidP="007B6085">
      <w:pPr>
        <w:spacing w:after="120" w:line="240" w:lineRule="auto"/>
        <w:rPr>
          <w:rFonts w:ascii="Calibri" w:hAnsi="Calibri" w:cs="Arial"/>
          <w:b/>
          <w:bCs/>
          <w:color w:val="0D0D0D" w:themeColor="text1" w:themeTint="F2"/>
          <w:sz w:val="28"/>
          <w:szCs w:val="22"/>
          <w:lang w:val="hu-HU"/>
        </w:rPr>
      </w:pPr>
      <w:r>
        <w:rPr>
          <w:rFonts w:ascii="Calibri" w:hAnsi="Calibri" w:cs="Arial"/>
          <w:b/>
          <w:bCs/>
          <w:color w:val="0D0D0D" w:themeColor="text1" w:themeTint="F2"/>
          <w:sz w:val="28"/>
          <w:szCs w:val="22"/>
          <w:lang w:val="hu-HU"/>
        </w:rPr>
        <w:t xml:space="preserve">Klímacélok teljesítése: </w:t>
      </w:r>
      <w:r w:rsidR="00F86093">
        <w:rPr>
          <w:rFonts w:ascii="Calibri" w:hAnsi="Calibri" w:cs="Arial"/>
          <w:b/>
          <w:bCs/>
          <w:color w:val="0D0D0D" w:themeColor="text1" w:themeTint="F2"/>
          <w:sz w:val="28"/>
          <w:szCs w:val="22"/>
          <w:lang w:val="hu-HU"/>
        </w:rPr>
        <w:t xml:space="preserve">Magyarországon a biomasszáé </w:t>
      </w:r>
      <w:r w:rsidR="004F2BDD">
        <w:rPr>
          <w:rFonts w:ascii="Calibri" w:hAnsi="Calibri" w:cs="Arial"/>
          <w:b/>
          <w:bCs/>
          <w:color w:val="0D0D0D" w:themeColor="text1" w:themeTint="F2"/>
          <w:sz w:val="28"/>
          <w:szCs w:val="22"/>
          <w:lang w:val="hu-HU"/>
        </w:rPr>
        <w:t xml:space="preserve">lesz </w:t>
      </w:r>
      <w:r w:rsidR="00F86093">
        <w:rPr>
          <w:rFonts w:ascii="Calibri" w:hAnsi="Calibri" w:cs="Arial"/>
          <w:b/>
          <w:bCs/>
          <w:color w:val="0D0D0D" w:themeColor="text1" w:themeTint="F2"/>
          <w:sz w:val="28"/>
          <w:szCs w:val="22"/>
          <w:lang w:val="hu-HU"/>
        </w:rPr>
        <w:t>a főszerep</w:t>
      </w:r>
    </w:p>
    <w:p w:rsidR="00E40480" w:rsidRPr="00E40480" w:rsidRDefault="00AA6E50" w:rsidP="007B6085">
      <w:pPr>
        <w:spacing w:after="120" w:line="240" w:lineRule="auto"/>
        <w:rPr>
          <w:rFonts w:ascii="Calibri" w:hAnsi="Calibri" w:cs="Arial"/>
          <w:b/>
          <w:bCs/>
          <w:color w:val="0D0D0D" w:themeColor="text1" w:themeTint="F2"/>
          <w:sz w:val="24"/>
          <w:lang w:val="hu-HU"/>
        </w:rPr>
      </w:pPr>
      <w:r>
        <w:rPr>
          <w:rFonts w:ascii="Calibri" w:hAnsi="Calibri" w:cs="Arial"/>
          <w:b/>
          <w:bCs/>
          <w:color w:val="0D0D0D" w:themeColor="text1" w:themeTint="F2"/>
          <w:sz w:val="24"/>
          <w:lang w:val="hu-HU"/>
        </w:rPr>
        <w:t>A</w:t>
      </w:r>
      <w:r w:rsidR="00E40480">
        <w:rPr>
          <w:rFonts w:ascii="Calibri" w:hAnsi="Calibri" w:cs="Arial"/>
          <w:b/>
          <w:bCs/>
          <w:color w:val="0D0D0D" w:themeColor="text1" w:themeTint="F2"/>
          <w:sz w:val="24"/>
          <w:lang w:val="hu-HU"/>
        </w:rPr>
        <w:t xml:space="preserve"> fosszilis források súlyának csökken</w:t>
      </w:r>
      <w:r w:rsidR="004D03F0">
        <w:rPr>
          <w:rFonts w:ascii="Calibri" w:hAnsi="Calibri" w:cs="Arial"/>
          <w:b/>
          <w:bCs/>
          <w:color w:val="0D0D0D" w:themeColor="text1" w:themeTint="F2"/>
          <w:sz w:val="24"/>
          <w:lang w:val="hu-HU"/>
        </w:rPr>
        <w:t>t</w:t>
      </w:r>
      <w:r w:rsidR="00E40480">
        <w:rPr>
          <w:rFonts w:ascii="Calibri" w:hAnsi="Calibri" w:cs="Arial"/>
          <w:b/>
          <w:bCs/>
          <w:color w:val="0D0D0D" w:themeColor="text1" w:themeTint="F2"/>
          <w:sz w:val="24"/>
          <w:lang w:val="hu-HU"/>
        </w:rPr>
        <w:t>ése az energetikai függőséget is mérsékli</w:t>
      </w:r>
    </w:p>
    <w:p w:rsidR="00DF45D3" w:rsidRPr="00C06755" w:rsidRDefault="00DF45D3" w:rsidP="007B6085">
      <w:pPr>
        <w:spacing w:after="120" w:line="240" w:lineRule="auto"/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</w:pPr>
    </w:p>
    <w:p w:rsidR="00DF45D3" w:rsidRPr="00C06755" w:rsidRDefault="00046DB0" w:rsidP="007B6085">
      <w:pPr>
        <w:spacing w:after="120" w:line="240" w:lineRule="auto"/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>Magyarországon a biomassza hasznosításának kulcsszerep</w:t>
      </w:r>
      <w:r w:rsidR="00D015EE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 jut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 abban, hogy sikerül-e teljesíteni 2020-ra a megújuló energiaforrások részesedés</w:t>
      </w:r>
      <w:r w:rsidR="00726646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ére vonatkozó 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14,65 százalékos célkitűzést. A </w:t>
      </w:r>
      <w:r w:rsidR="00D015EE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biomassza hasznosításával 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nyert energia mennyisége világszinten mintegy </w:t>
      </w:r>
      <w:r w:rsidR="0012095E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>50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 százalékkal növekedhet </w:t>
      </w:r>
      <w:r w:rsidR="0012095E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>2018-ig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, </w:t>
      </w:r>
      <w:r w:rsidR="004D51D4"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>é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  <w:lang w:val="hu-HU"/>
        </w:rPr>
        <w:t xml:space="preserve">s a bioenergiának köszönhetően már Magyarországon is van olyan megyei jogú város, </w:t>
      </w:r>
      <w:r w:rsidRPr="00046DB0">
        <w:rPr>
          <w:rFonts w:ascii="Calibri" w:hAnsi="Calibri"/>
          <w:b/>
          <w:color w:val="0D0D0D"/>
          <w:sz w:val="22"/>
          <w:szCs w:val="22"/>
          <w:lang w:val="hu-HU"/>
        </w:rPr>
        <w:t xml:space="preserve">amelynek </w:t>
      </w:r>
      <w:proofErr w:type="spellStart"/>
      <w:r w:rsidRPr="00046DB0">
        <w:rPr>
          <w:rFonts w:ascii="Calibri" w:hAnsi="Calibri"/>
          <w:b/>
          <w:color w:val="0D0D0D"/>
          <w:sz w:val="22"/>
          <w:szCs w:val="22"/>
          <w:lang w:val="hu-HU"/>
        </w:rPr>
        <w:t>távhőellátása</w:t>
      </w:r>
      <w:proofErr w:type="spellEnd"/>
      <w:r w:rsidRPr="00046DB0">
        <w:rPr>
          <w:rFonts w:ascii="Calibri" w:hAnsi="Calibri"/>
          <w:b/>
          <w:color w:val="0D0D0D"/>
          <w:sz w:val="22"/>
          <w:szCs w:val="22"/>
          <w:lang w:val="hu-HU"/>
        </w:rPr>
        <w:t xml:space="preserve"> száz százalékban </w:t>
      </w:r>
      <w:r w:rsidR="00D015EE">
        <w:rPr>
          <w:rFonts w:ascii="Calibri" w:hAnsi="Calibri"/>
          <w:b/>
          <w:color w:val="0D0D0D"/>
          <w:sz w:val="22"/>
          <w:szCs w:val="22"/>
          <w:lang w:val="hu-HU"/>
        </w:rPr>
        <w:t>megújuló forrásokon</w:t>
      </w:r>
      <w:r w:rsidRPr="00046DB0">
        <w:rPr>
          <w:rFonts w:ascii="Calibri" w:hAnsi="Calibri"/>
          <w:b/>
          <w:color w:val="0D0D0D"/>
          <w:sz w:val="22"/>
          <w:szCs w:val="22"/>
          <w:lang w:val="hu-HU"/>
        </w:rPr>
        <w:t xml:space="preserve"> alapul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>. A megújuló energia</w:t>
      </w:r>
      <w:r w:rsidR="0002580A">
        <w:rPr>
          <w:rFonts w:ascii="Calibri" w:hAnsi="Calibri"/>
          <w:b/>
          <w:color w:val="0D0D0D"/>
          <w:sz w:val="22"/>
          <w:szCs w:val="22"/>
          <w:lang w:val="hu-HU"/>
        </w:rPr>
        <w:t>hordozók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 xml:space="preserve"> korábbinál intenzívebb kiaknázása nem csak </w:t>
      </w:r>
      <w:r w:rsidR="00D015EE">
        <w:rPr>
          <w:rFonts w:ascii="Calibri" w:hAnsi="Calibri"/>
          <w:b/>
          <w:color w:val="0D0D0D"/>
          <w:sz w:val="22"/>
          <w:szCs w:val="22"/>
          <w:lang w:val="hu-HU"/>
        </w:rPr>
        <w:t xml:space="preserve">a </w:t>
      </w:r>
      <w:r w:rsidR="004D03F0">
        <w:rPr>
          <w:rFonts w:ascii="Calibri" w:hAnsi="Calibri"/>
          <w:b/>
          <w:color w:val="0D0D0D"/>
          <w:sz w:val="22"/>
          <w:szCs w:val="22"/>
          <w:lang w:val="hu-HU"/>
        </w:rPr>
        <w:t>klíma</w:t>
      </w:r>
      <w:r w:rsidR="00D015EE">
        <w:rPr>
          <w:rFonts w:ascii="Calibri" w:hAnsi="Calibri"/>
          <w:b/>
          <w:color w:val="0D0D0D"/>
          <w:sz w:val="22"/>
          <w:szCs w:val="22"/>
          <w:lang w:val="hu-HU"/>
        </w:rPr>
        <w:t>célok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 xml:space="preserve"> teljesítéséhez járul hozzá, de a </w:t>
      </w:r>
      <w:r w:rsidRPr="00046DB0">
        <w:rPr>
          <w:rFonts w:ascii="Calibri" w:hAnsi="Calibri"/>
          <w:b/>
          <w:color w:val="0D0D0D"/>
          <w:sz w:val="22"/>
          <w:szCs w:val="22"/>
          <w:lang w:val="hu-HU"/>
        </w:rPr>
        <w:t>külföldi energiahordozóktól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 xml:space="preserve"> való függőséget i</w:t>
      </w:r>
      <w:r w:rsidR="00D015EE">
        <w:rPr>
          <w:rFonts w:ascii="Calibri" w:hAnsi="Calibri"/>
          <w:b/>
          <w:color w:val="0D0D0D"/>
          <w:sz w:val="22"/>
          <w:szCs w:val="22"/>
          <w:lang w:val="hu-HU"/>
        </w:rPr>
        <w:t>s csökkenti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>, az ellátásbiztonság</w:t>
      </w:r>
      <w:r w:rsidR="0002580A">
        <w:rPr>
          <w:rFonts w:ascii="Calibri" w:hAnsi="Calibri"/>
          <w:b/>
          <w:color w:val="0D0D0D"/>
          <w:sz w:val="22"/>
          <w:szCs w:val="22"/>
          <w:lang w:val="hu-HU"/>
        </w:rPr>
        <w:t>ot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 xml:space="preserve"> javít</w:t>
      </w:r>
      <w:r w:rsidR="00D015EE">
        <w:rPr>
          <w:rFonts w:ascii="Calibri" w:hAnsi="Calibri"/>
          <w:b/>
          <w:color w:val="0D0D0D"/>
          <w:sz w:val="22"/>
          <w:szCs w:val="22"/>
          <w:lang w:val="hu-HU"/>
        </w:rPr>
        <w:t>va</w:t>
      </w:r>
      <w:r>
        <w:rPr>
          <w:rFonts w:ascii="Calibri" w:hAnsi="Calibri"/>
          <w:b/>
          <w:color w:val="0D0D0D"/>
          <w:sz w:val="22"/>
          <w:szCs w:val="22"/>
          <w:lang w:val="hu-HU"/>
        </w:rPr>
        <w:t xml:space="preserve"> </w:t>
      </w:r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 xml:space="preserve">– hívják fel a figyelmet a </w:t>
      </w:r>
      <w:proofErr w:type="spellStart"/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Veolia</w:t>
      </w:r>
      <w:proofErr w:type="spellEnd"/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 xml:space="preserve"> Energia Magyarország </w:t>
      </w:r>
      <w:proofErr w:type="spellStart"/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Zrt</w:t>
      </w:r>
      <w:proofErr w:type="spellEnd"/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. szakértői</w:t>
      </w:r>
      <w:r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 xml:space="preserve"> a </w:t>
      </w:r>
      <w:r w:rsidR="004D51D4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Környezetvédelem világnapj</w:t>
      </w:r>
      <w:r w:rsidR="00BB33F1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a alkalmával</w:t>
      </w:r>
      <w:r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 xml:space="preserve"> kiadott közleményükben</w:t>
      </w:r>
      <w:r w:rsidR="00DF45D3" w:rsidRPr="00C06755">
        <w:rPr>
          <w:rFonts w:ascii="Calibri" w:hAnsi="Calibri" w:cs="Arial"/>
          <w:b/>
          <w:color w:val="0D0D0D" w:themeColor="text1" w:themeTint="F2"/>
          <w:sz w:val="22"/>
          <w:szCs w:val="22"/>
          <w:lang w:val="hu-HU"/>
        </w:rPr>
        <w:t>.</w:t>
      </w:r>
    </w:p>
    <w:p w:rsidR="009642C3" w:rsidRDefault="00720349" w:rsidP="00097893">
      <w:pPr>
        <w:spacing w:after="120" w:line="240" w:lineRule="auto"/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</w:pP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Két Celsius fok alatt tartani a légkör felmelegedését – ez 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 legfontosabb célja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az ENSZ 195 tagállama által 2015 decemberében, Párizsban aláírt klímaegyezménynek. A </w:t>
      </w:r>
      <w:r w:rsidR="00F8609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siker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kulcs</w:t>
      </w:r>
      <w:r w:rsidR="00F8609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</w:t>
      </w:r>
      <w:r w:rsidR="00BF2D1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 fosszilis energiahordozók használatának csökkentése, illetve a megújuló energiaforrások hasznosítására való 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sikeres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áttérés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lesz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.</w:t>
      </w:r>
      <w:r w:rsidR="005C130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 w:rsidR="00F8609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Bár a nagy szélerőmű- és naperőmű telepek építése látványosabb, </w:t>
      </w:r>
      <w:r w:rsidR="005C130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ám az energiatermelésben betöltött szerepét tekintve l</w:t>
      </w:r>
      <w:r w:rsidR="0002580A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egalább ilyen fon</w:t>
      </w:r>
      <w:bookmarkStart w:id="0" w:name="_GoBack"/>
      <w:bookmarkEnd w:id="0"/>
      <w:r w:rsidR="0002580A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tos a biomassza-hasznosítás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, amelynek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súlya</w:t>
      </w:r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tovább nőhet a következő években. Az éves bioenergia-termelés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volumene</w:t>
      </w:r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az évtized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második felében</w:t>
      </w:r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évente hét százalékkal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bővülhet</w:t>
      </w:r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, a 2012-es 370 </w:t>
      </w:r>
      <w:proofErr w:type="spellStart"/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TWh-ról</w:t>
      </w:r>
      <w:proofErr w:type="spellEnd"/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2018-ra </w:t>
      </w:r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560 </w:t>
      </w:r>
      <w:proofErr w:type="spellStart"/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TWh-ra</w:t>
      </w:r>
      <w:proofErr w:type="spellEnd"/>
      <w:r w:rsidR="00EE2192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növekedve a Nemzetközi Energia Ügynökség (IEA) legutó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bbi előrejelzése szerint.</w:t>
      </w:r>
    </w:p>
    <w:p w:rsidR="00EE2192" w:rsidRDefault="00EE2192" w:rsidP="00097893">
      <w:pPr>
        <w:spacing w:after="120" w:line="240" w:lineRule="auto"/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</w:pP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 biomassza európai energiamixben betöltött </w:t>
      </w:r>
      <w:r w:rsidR="005C130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szerepét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mutatja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, hogy </w:t>
      </w:r>
      <w:proofErr w:type="gramStart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</w:t>
      </w:r>
      <w:proofErr w:type="gramEnd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European </w:t>
      </w:r>
      <w:proofErr w:type="spellStart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Biomass</w:t>
      </w:r>
      <w:proofErr w:type="spellEnd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Association</w:t>
      </w:r>
      <w:proofErr w:type="spellEnd"/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(AEBIOM)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adatai szerint 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ma már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a kontinens országaiban összesen 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mintegy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3700 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darab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1 MW-n</w:t>
      </w:r>
      <w:r w:rsidR="00AF0368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á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l nagyobb teljesítményű biomassza erőmű, vagy fűtőmű működik. A létesítmények 73 százaléka az 1-10 MW közötti teljesítmé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nykategóriába tartozik.</w:t>
      </w:r>
      <w:r w:rsidR="009642C3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Mintegy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75 százalékuk fűtőműként üzemel, 21 százalékukban kombinált áram- és hőtermelés folyik, 3 százalékukban pedig kizárólag villamos</w:t>
      </w:r>
      <w:r w:rsidR="0012095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-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energiát termelnek.</w:t>
      </w:r>
    </w:p>
    <w:p w:rsidR="00BF2D15" w:rsidRDefault="00BF2D15" w:rsidP="00BF2D15">
      <w:pPr>
        <w:spacing w:after="120" w:line="240" w:lineRule="auto"/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</w:pP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 biomassza hasznosítása különösen fontos lehet a 21. század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i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város</w:t>
      </w:r>
      <w:r w:rsidR="00D015EE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ok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energiaellátásának 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megreformálásában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. </w:t>
      </w:r>
      <w:r w:rsidR="00425C14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A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világ népességének </w:t>
      </w:r>
      <w:r w:rsidR="00425C14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mintegy a 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fele él ma a nagyobb városokban, </w:t>
      </w:r>
      <w:r w:rsidR="00D015EE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és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ez az arány 2050-re 65-75 százalékra emelked</w:t>
      </w:r>
      <w:r w:rsidR="00D015EE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het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. A városok már ma is az üvegházhatású-gázkibocsátás háromnegyedéért felelősek. Arra a kérdésre, hogy a </w:t>
      </w:r>
      <w:r w:rsidR="004D03F0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negatív 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trendet miként lehet megfordítani, a korszerű </w:t>
      </w:r>
      <w:proofErr w:type="spellStart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távhőszolgáltató</w:t>
      </w:r>
      <w:proofErr w:type="spellEnd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rendszerek kiépítése adja a leg</w:t>
      </w:r>
      <w:r w:rsidR="004D03F0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jobb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választ, a megújuló energiaforrások széles körű felhasználását lehetővé</w:t>
      </w:r>
      <w:r w:rsidR="004D03F0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téve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.</w:t>
      </w:r>
    </w:p>
    <w:p w:rsidR="005C1305" w:rsidRPr="00C06755" w:rsidRDefault="005C1305" w:rsidP="005C1305">
      <w:pPr>
        <w:spacing w:after="120" w:line="240" w:lineRule="auto"/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</w:pP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 biomassz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a-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hasznosítási lehe</w:t>
      </w:r>
      <w:r w:rsidR="00BF2D1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tőségek kiaknázása Magyarországnak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különösen fontos, </w:t>
      </w:r>
      <w:r w:rsidR="00BF2D1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hiszen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hazánk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a szélnek kitett tengerpartoktól távolabb esik 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és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a napsütéses órák száma sem kiemelkedően magas. </w:t>
      </w:r>
      <w:r w:rsidRPr="005C1305">
        <w:rPr>
          <w:rFonts w:asciiTheme="minorHAnsi" w:eastAsia="Times New Roman" w:hAnsiTheme="minorHAnsi" w:cs="Arial"/>
          <w:i/>
          <w:color w:val="0D0D0D" w:themeColor="text1" w:themeTint="F2"/>
          <w:sz w:val="22"/>
          <w:szCs w:val="22"/>
          <w:lang w:val="hu-HU" w:eastAsia="hu-HU"/>
        </w:rPr>
        <w:t>„Ezzel szemben a biomassza hasznosításához optimálisak a feltételek</w:t>
      </w:r>
      <w:r w:rsidR="00726646">
        <w:rPr>
          <w:rFonts w:asciiTheme="minorHAnsi" w:eastAsia="Times New Roman" w:hAnsiTheme="minorHAnsi" w:cs="Arial"/>
          <w:i/>
          <w:color w:val="0D0D0D" w:themeColor="text1" w:themeTint="F2"/>
          <w:sz w:val="22"/>
          <w:szCs w:val="22"/>
          <w:lang w:val="hu-HU" w:eastAsia="hu-HU"/>
        </w:rPr>
        <w:t xml:space="preserve"> idehaza. Í</w:t>
      </w:r>
      <w:r w:rsidRPr="005C1305">
        <w:rPr>
          <w:rFonts w:asciiTheme="minorHAnsi" w:eastAsia="Times New Roman" w:hAnsiTheme="minorHAnsi" w:cs="Arial"/>
          <w:i/>
          <w:color w:val="0D0D0D" w:themeColor="text1" w:themeTint="F2"/>
          <w:sz w:val="22"/>
          <w:szCs w:val="22"/>
          <w:lang w:val="hu-HU" w:eastAsia="hu-HU"/>
        </w:rPr>
        <w:t>gy a bioenergiának kulcsszerepe lesz abban, hogy Magyarország képes le</w:t>
      </w:r>
      <w:r w:rsidR="0002580A">
        <w:rPr>
          <w:rFonts w:asciiTheme="minorHAnsi" w:eastAsia="Times New Roman" w:hAnsiTheme="minorHAnsi" w:cs="Arial"/>
          <w:i/>
          <w:color w:val="0D0D0D" w:themeColor="text1" w:themeTint="F2"/>
          <w:sz w:val="22"/>
          <w:szCs w:val="22"/>
          <w:lang w:val="hu-HU" w:eastAsia="hu-HU"/>
        </w:rPr>
        <w:t>sz-e</w:t>
      </w:r>
      <w:r w:rsidRPr="005C1305">
        <w:rPr>
          <w:rFonts w:asciiTheme="minorHAnsi" w:eastAsia="Times New Roman" w:hAnsiTheme="minorHAnsi" w:cs="Arial"/>
          <w:i/>
          <w:color w:val="0D0D0D" w:themeColor="text1" w:themeTint="F2"/>
          <w:sz w:val="22"/>
          <w:szCs w:val="22"/>
          <w:lang w:val="hu-HU" w:eastAsia="hu-HU"/>
        </w:rPr>
        <w:t xml:space="preserve"> teljesíteni </w:t>
      </w:r>
      <w:r w:rsidRPr="005C1305">
        <w:rPr>
          <w:rFonts w:asciiTheme="minorHAnsi" w:hAnsiTheme="minorHAnsi"/>
          <w:i/>
          <w:color w:val="0D0D0D" w:themeColor="text1" w:themeTint="F2"/>
          <w:sz w:val="22"/>
          <w:szCs w:val="22"/>
          <w:lang w:val="hu-HU"/>
        </w:rPr>
        <w:t>2020-ra a megújuló energiaforrások részesedés</w:t>
      </w:r>
      <w:r w:rsidR="00425C14">
        <w:rPr>
          <w:rFonts w:asciiTheme="minorHAnsi" w:hAnsiTheme="minorHAnsi"/>
          <w:i/>
          <w:color w:val="0D0D0D" w:themeColor="text1" w:themeTint="F2"/>
          <w:sz w:val="22"/>
          <w:szCs w:val="22"/>
          <w:lang w:val="hu-HU"/>
        </w:rPr>
        <w:t>ér</w:t>
      </w:r>
      <w:r w:rsidRPr="005C1305">
        <w:rPr>
          <w:rFonts w:asciiTheme="minorHAnsi" w:hAnsiTheme="minorHAnsi"/>
          <w:i/>
          <w:color w:val="0D0D0D" w:themeColor="text1" w:themeTint="F2"/>
          <w:sz w:val="22"/>
          <w:szCs w:val="22"/>
          <w:lang w:val="hu-HU"/>
        </w:rPr>
        <w:t xml:space="preserve">e </w:t>
      </w:r>
      <w:r w:rsidR="00726646">
        <w:rPr>
          <w:rFonts w:asciiTheme="minorHAnsi" w:hAnsiTheme="minorHAnsi"/>
          <w:i/>
          <w:color w:val="0D0D0D" w:themeColor="text1" w:themeTint="F2"/>
          <w:sz w:val="22"/>
          <w:szCs w:val="22"/>
          <w:lang w:val="hu-HU"/>
        </w:rPr>
        <w:t>vonatkozó</w:t>
      </w:r>
      <w:r w:rsidRPr="005C1305">
        <w:rPr>
          <w:rFonts w:asciiTheme="minorHAnsi" w:hAnsiTheme="minorHAnsi"/>
          <w:i/>
          <w:color w:val="0D0D0D" w:themeColor="text1" w:themeTint="F2"/>
          <w:sz w:val="22"/>
          <w:szCs w:val="22"/>
          <w:lang w:val="hu-HU"/>
        </w:rPr>
        <w:t xml:space="preserve"> 14,65 százalékos célkitűzést”</w:t>
      </w:r>
      <w:r>
        <w:rPr>
          <w:rFonts w:asciiTheme="minorHAnsi" w:hAnsiTheme="minorHAnsi"/>
          <w:color w:val="0D0D0D" w:themeColor="text1" w:themeTint="F2"/>
          <w:sz w:val="22"/>
          <w:szCs w:val="22"/>
          <w:lang w:val="hu-HU"/>
        </w:rPr>
        <w:t xml:space="preserve"> -</w:t>
      </w:r>
      <w:r w:rsidRPr="005C130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közölte Fernezelyi Ferenc, a </w:t>
      </w:r>
      <w:proofErr w:type="spellStart"/>
      <w:r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Veolia</w:t>
      </w:r>
      <w:proofErr w:type="spellEnd"/>
      <w:r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Energia Magyarország </w:t>
      </w:r>
      <w:proofErr w:type="spellStart"/>
      <w:r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Zrt</w:t>
      </w:r>
      <w:proofErr w:type="spellEnd"/>
      <w:r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. kereskedelmi igazgatója.</w:t>
      </w:r>
    </w:p>
    <w:p w:rsidR="004D03F0" w:rsidRDefault="004D03F0" w:rsidP="004D03F0">
      <w:pPr>
        <w:spacing w:after="120" w:line="240" w:lineRule="auto"/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</w:pPr>
      <w:r>
        <w:rPr>
          <w:rFonts w:ascii="Calibri" w:hAnsi="Calibri" w:cs="Arial"/>
          <w:color w:val="0D0D0D"/>
          <w:sz w:val="22"/>
          <w:szCs w:val="22"/>
          <w:lang w:val="hu-HU"/>
        </w:rPr>
        <w:t xml:space="preserve">A megújuló energiaforrások magyarországi hasznosítására a legjobb példa Pécs, ahol – idehaza egyedülálló módon - immár 100 százalékban biomassza hasznosítással gondoskodnak a városi </w:t>
      </w:r>
      <w:r>
        <w:rPr>
          <w:rFonts w:ascii="Calibri" w:hAnsi="Calibri" w:cs="Arial"/>
          <w:color w:val="0D0D0D"/>
          <w:sz w:val="22"/>
          <w:szCs w:val="22"/>
          <w:lang w:val="hu-HU"/>
        </w:rPr>
        <w:lastRenderedPageBreak/>
        <w:t>távfűtőrendszer energiaellátásáról a társaságcsoport portfóliójába tartozó pécsi erőmű átalakításának és fejlesztésének köszönhetően. F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ontos, hogy a megújuló energiaforrások energiafogyasztáson belüli részarányának növelése egyszerre mérsékelheti a fosszilis energiaforrások felhasználásának szükségességét, valamint csökkenti a külföldről származó energiahordozók iránti függőségét. </w:t>
      </w:r>
    </w:p>
    <w:p w:rsidR="00BF2D15" w:rsidRDefault="00BF2D15" w:rsidP="00BF2D15">
      <w:pPr>
        <w:spacing w:after="120" w:line="240" w:lineRule="auto"/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</w:pP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Jó hír</w:t>
      </w:r>
      <w:r w:rsidR="004D03F0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az is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, hogy 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Magyarországon az elmúlt évek során megállt a </w:t>
      </w:r>
      <w:proofErr w:type="spellStart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távhőrendszerbe</w:t>
      </w:r>
      <w:proofErr w:type="spellEnd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kötött lakások arányának csökkenése. </w:t>
      </w:r>
      <w:r w:rsidR="004D03F0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Ebben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a </w:t>
      </w:r>
      <w:proofErr w:type="spellStart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Veolia</w:t>
      </w:r>
      <w:proofErr w:type="spellEnd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Energia Magyarország </w:t>
      </w:r>
      <w:proofErr w:type="spellStart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Zrt</w:t>
      </w:r>
      <w:proofErr w:type="spellEnd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. kiemelkedő szerepet vállal, amely 2015-ben zárult, európai uniós társfinanszírozással megvalósult beruházásai keretében mintegy kétezer lakás és több középület hő- és melegvíz-ellátását modernizálta, illetve bővítette </w:t>
      </w:r>
      <w:r w:rsidR="004D03F0"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tovább a hálózatokat. A cég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csoport Magyarországon mintegy 12 ezer lakás </w:t>
      </w:r>
      <w:proofErr w:type="spellStart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hőellátását</w:t>
      </w:r>
      <w:proofErr w:type="spellEnd"/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 xml:space="preserve"> biztosítja közvetlenül, </w:t>
      </w:r>
      <w:r>
        <w:rPr>
          <w:rFonts w:ascii="Calibri" w:hAnsi="Calibri" w:cs="Arial"/>
          <w:color w:val="0D0D0D"/>
          <w:sz w:val="22"/>
          <w:szCs w:val="22"/>
          <w:lang w:val="hu-HU"/>
        </w:rPr>
        <w:t>miközben</w:t>
      </w:r>
      <w:r>
        <w:rPr>
          <w:rFonts w:ascii="Calibri" w:hAnsi="Calibri" w:cs="Arial"/>
          <w:b/>
          <w:color w:val="0D0D0D"/>
          <w:sz w:val="22"/>
          <w:szCs w:val="22"/>
          <w:lang w:val="hu-HU"/>
        </w:rPr>
        <w:t xml:space="preserve"> </w:t>
      </w:r>
      <w:r>
        <w:rPr>
          <w:rFonts w:ascii="Calibri" w:hAnsi="Calibri" w:cs="Arial"/>
          <w:color w:val="0D0D0D"/>
          <w:sz w:val="22"/>
          <w:szCs w:val="22"/>
          <w:lang w:val="hu-HU"/>
        </w:rPr>
        <w:t>országszerte további 109 000 lakossági és intézményi ügyfél számára termel hőenergiát</w:t>
      </w:r>
      <w:r>
        <w:rPr>
          <w:rFonts w:ascii="Calibri" w:eastAsia="Times New Roman" w:hAnsi="Calibri" w:cs="Arial"/>
          <w:color w:val="0D0D0D"/>
          <w:sz w:val="22"/>
          <w:szCs w:val="22"/>
          <w:lang w:val="hu-HU" w:eastAsia="hu-HU"/>
        </w:rPr>
        <w:t>.</w:t>
      </w:r>
    </w:p>
    <w:p w:rsidR="00097893" w:rsidRDefault="004D03F0" w:rsidP="007B6085">
      <w:pPr>
        <w:spacing w:after="120" w:line="240" w:lineRule="auto"/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</w:pPr>
      <w:r>
        <w:rPr>
          <w:rFonts w:ascii="Calibri" w:hAnsi="Calibri" w:cs="Arial"/>
          <w:i/>
          <w:color w:val="0D0D0D"/>
          <w:sz w:val="22"/>
          <w:szCs w:val="22"/>
          <w:lang w:val="hu-HU"/>
        </w:rPr>
        <w:t xml:space="preserve"> </w:t>
      </w:r>
      <w:r w:rsidR="00A639BC">
        <w:rPr>
          <w:rFonts w:ascii="Calibri" w:hAnsi="Calibri" w:cs="Arial"/>
          <w:i/>
          <w:color w:val="0D0D0D"/>
          <w:sz w:val="22"/>
          <w:szCs w:val="22"/>
          <w:lang w:val="hu-HU"/>
        </w:rPr>
        <w:t>„A 2015 decemberében Párizsba</w:t>
      </w:r>
      <w:r w:rsidR="00726646">
        <w:rPr>
          <w:rFonts w:ascii="Calibri" w:hAnsi="Calibri" w:cs="Arial"/>
          <w:i/>
          <w:color w:val="0D0D0D"/>
          <w:sz w:val="22"/>
          <w:szCs w:val="22"/>
          <w:lang w:val="hu-HU"/>
        </w:rPr>
        <w:t>n megrendezett ENSZ klímacsúcs résztvevői</w:t>
      </w:r>
      <w:r w:rsidR="00A639BC">
        <w:rPr>
          <w:rFonts w:ascii="Calibri" w:hAnsi="Calibri" w:cs="Arial"/>
          <w:i/>
          <w:color w:val="0D0D0D"/>
          <w:sz w:val="22"/>
          <w:szCs w:val="22"/>
          <w:lang w:val="hu-HU"/>
        </w:rPr>
        <w:t xml:space="preserve"> (COP21) egyértelműen állást foglaltak az éghajlatváltozás megállítása mellett. Ennek szellemében cselekszünk mi is, amikor a projekthelyszíneinken sorra vesszük, milyen lehetőség</w:t>
      </w:r>
      <w:r w:rsidR="00726646">
        <w:rPr>
          <w:rFonts w:ascii="Calibri" w:hAnsi="Calibri" w:cs="Arial"/>
          <w:i/>
          <w:color w:val="0D0D0D"/>
          <w:sz w:val="22"/>
          <w:szCs w:val="22"/>
          <w:lang w:val="hu-HU"/>
        </w:rPr>
        <w:t>ek</w:t>
      </w:r>
      <w:r w:rsidR="00A639BC">
        <w:rPr>
          <w:rFonts w:ascii="Calibri" w:hAnsi="Calibri" w:cs="Arial"/>
          <w:i/>
          <w:color w:val="0D0D0D"/>
          <w:sz w:val="22"/>
          <w:szCs w:val="22"/>
          <w:lang w:val="hu-HU"/>
        </w:rPr>
        <w:t xml:space="preserve"> adód</w:t>
      </w:r>
      <w:r w:rsidR="00726646">
        <w:rPr>
          <w:rFonts w:ascii="Calibri" w:hAnsi="Calibri" w:cs="Arial"/>
          <w:i/>
          <w:color w:val="0D0D0D"/>
          <w:sz w:val="22"/>
          <w:szCs w:val="22"/>
          <w:lang w:val="hu-HU"/>
        </w:rPr>
        <w:t>na</w:t>
      </w:r>
      <w:r w:rsidR="00A639BC">
        <w:rPr>
          <w:rFonts w:ascii="Calibri" w:hAnsi="Calibri" w:cs="Arial"/>
          <w:i/>
          <w:color w:val="0D0D0D"/>
          <w:sz w:val="22"/>
          <w:szCs w:val="22"/>
          <w:lang w:val="hu-HU"/>
        </w:rPr>
        <w:t>k az energiatermelés megújuló alapokra helyezésére</w:t>
      </w:r>
      <w:r w:rsidR="00726646">
        <w:rPr>
          <w:rFonts w:ascii="Calibri" w:hAnsi="Calibri" w:cs="Arial"/>
          <w:i/>
          <w:color w:val="0D0D0D"/>
          <w:sz w:val="22"/>
          <w:szCs w:val="22"/>
          <w:lang w:val="hu-HU"/>
        </w:rPr>
        <w:t xml:space="preserve"> és a biomassza-hasznosításra</w:t>
      </w:r>
      <w:r w:rsidR="00A639BC">
        <w:rPr>
          <w:rFonts w:ascii="Calibri" w:hAnsi="Calibri" w:cs="Arial"/>
          <w:i/>
          <w:color w:val="0D0D0D"/>
          <w:sz w:val="22"/>
          <w:szCs w:val="22"/>
          <w:lang w:val="hu-HU"/>
        </w:rPr>
        <w:t xml:space="preserve">”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–</w:t>
      </w:r>
      <w:r w:rsidR="00DF3C98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</w:t>
      </w:r>
      <w:r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tette hozzá</w:t>
      </w:r>
      <w:r w:rsidR="00DF45D3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a </w:t>
      </w:r>
      <w:proofErr w:type="spellStart"/>
      <w:r w:rsidR="00DF45D3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Veolia</w:t>
      </w:r>
      <w:proofErr w:type="spellEnd"/>
      <w:r w:rsidR="00DF45D3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 xml:space="preserve"> Energia Magyarország </w:t>
      </w:r>
      <w:proofErr w:type="spellStart"/>
      <w:r w:rsidR="00DF45D3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Zrt</w:t>
      </w:r>
      <w:proofErr w:type="spellEnd"/>
      <w:r w:rsidR="00DF45D3" w:rsidRPr="00C0675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val="hu-HU" w:eastAsia="hu-HU"/>
        </w:rPr>
        <w:t>. kereskedelmi igazgatója.</w:t>
      </w:r>
    </w:p>
    <w:p w:rsidR="00DF45D3" w:rsidRDefault="0012095E" w:rsidP="007B6085">
      <w:pPr>
        <w:spacing w:after="120" w:line="240" w:lineRule="auto"/>
        <w:rPr>
          <w:rFonts w:ascii="Calibri" w:hAnsi="Calibri" w:cs="Arial"/>
          <w:color w:val="0D0D0D"/>
          <w:sz w:val="22"/>
          <w:szCs w:val="22"/>
          <w:lang w:val="hu-HU"/>
        </w:rPr>
      </w:pPr>
      <w:r>
        <w:rPr>
          <w:rFonts w:ascii="Calibri" w:hAnsi="Calibri" w:cs="Arial"/>
          <w:color w:val="0D0D0D"/>
          <w:sz w:val="22"/>
          <w:szCs w:val="22"/>
          <w:lang w:val="hu-HU"/>
        </w:rPr>
        <w:t>***</w:t>
      </w:r>
    </w:p>
    <w:p w:rsidR="00DF45D3" w:rsidRDefault="00DF45D3" w:rsidP="007B6085">
      <w:pPr>
        <w:spacing w:after="120" w:line="240" w:lineRule="auto"/>
        <w:rPr>
          <w:rFonts w:ascii="Calibri" w:hAnsi="Calibri" w:cs="Arial"/>
          <w:color w:val="0D0D0D"/>
          <w:sz w:val="22"/>
          <w:szCs w:val="22"/>
          <w:lang w:val="hu-HU"/>
        </w:rPr>
      </w:pPr>
    </w:p>
    <w:p w:rsidR="00DF45D3" w:rsidRDefault="00DF45D3" w:rsidP="007B6085">
      <w:pPr>
        <w:spacing w:after="120" w:line="240" w:lineRule="auto"/>
        <w:rPr>
          <w:rFonts w:cs="Arial"/>
          <w:b/>
          <w:i/>
          <w:color w:val="0D0D0D"/>
          <w:sz w:val="18"/>
          <w:szCs w:val="18"/>
          <w:lang w:val="hu-HU"/>
        </w:rPr>
      </w:pPr>
      <w:r>
        <w:rPr>
          <w:rFonts w:cs="Arial"/>
          <w:b/>
          <w:i/>
          <w:color w:val="0D0D0D"/>
          <w:sz w:val="18"/>
          <w:szCs w:val="18"/>
          <w:lang w:val="hu-HU"/>
        </w:rPr>
        <w:t xml:space="preserve">A </w:t>
      </w:r>
      <w:proofErr w:type="spellStart"/>
      <w:r>
        <w:rPr>
          <w:rFonts w:cs="Arial"/>
          <w:b/>
          <w:i/>
          <w:color w:val="0D0D0D"/>
          <w:sz w:val="18"/>
          <w:szCs w:val="18"/>
          <w:lang w:val="hu-HU"/>
        </w:rPr>
        <w:t>Veolia</w:t>
      </w:r>
      <w:proofErr w:type="spellEnd"/>
      <w:r>
        <w:rPr>
          <w:rFonts w:cs="Arial"/>
          <w:b/>
          <w:i/>
          <w:color w:val="0D0D0D"/>
          <w:sz w:val="18"/>
          <w:szCs w:val="18"/>
          <w:lang w:val="hu-HU"/>
        </w:rPr>
        <w:t xml:space="preserve"> Energia Magyarország </w:t>
      </w:r>
      <w:proofErr w:type="spellStart"/>
      <w:r>
        <w:rPr>
          <w:rFonts w:cs="Arial"/>
          <w:b/>
          <w:i/>
          <w:color w:val="0D0D0D"/>
          <w:sz w:val="18"/>
          <w:szCs w:val="18"/>
          <w:lang w:val="hu-HU"/>
        </w:rPr>
        <w:t>Zrt-ről</w:t>
      </w:r>
      <w:proofErr w:type="spellEnd"/>
      <w:r>
        <w:rPr>
          <w:rFonts w:cs="Arial"/>
          <w:b/>
          <w:i/>
          <w:color w:val="0D0D0D"/>
          <w:sz w:val="18"/>
          <w:szCs w:val="18"/>
          <w:lang w:val="hu-HU"/>
        </w:rPr>
        <w:t>: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 xml:space="preserve">A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Veolia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Energia Magyarország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Zrt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>. több mint 20 éves szakmai tapasztalattal a magyar energetikai piac meghatározó szereplője, önkormányzati és közületi szerződésállományának meghatározó része – például a pécsi, dorogi, esztergomi vagy tatai lakossági és intézményi távhőszolgáltatás – a 2020-as évekbe nyúlik előre. A társaság 2013 folyamán stratégiai együttműködési megállapodást kötött Magyarország kormányával.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>A vállalatcsoport jelenleg közel 700 főt foglalkoztat, országosan több mint 250 üzemeltetett telephelyen van jelen. A cégcsoport konszolidált árbevétele 201</w:t>
      </w:r>
      <w:r w:rsidR="00425C14">
        <w:rPr>
          <w:rFonts w:cs="Arial"/>
          <w:i/>
          <w:color w:val="0D0D0D"/>
          <w:sz w:val="18"/>
          <w:szCs w:val="18"/>
          <w:lang w:val="hu-HU"/>
        </w:rPr>
        <w:t>4</w:t>
      </w:r>
      <w:r>
        <w:rPr>
          <w:rFonts w:cs="Arial"/>
          <w:i/>
          <w:color w:val="0D0D0D"/>
          <w:sz w:val="18"/>
          <w:szCs w:val="18"/>
          <w:lang w:val="hu-HU"/>
        </w:rPr>
        <w:t>-b</w:t>
      </w:r>
      <w:r w:rsidR="00425C14">
        <w:rPr>
          <w:rFonts w:cs="Arial"/>
          <w:i/>
          <w:color w:val="0D0D0D"/>
          <w:sz w:val="18"/>
          <w:szCs w:val="18"/>
          <w:lang w:val="hu-HU"/>
        </w:rPr>
        <w:t>e</w:t>
      </w:r>
      <w:r>
        <w:rPr>
          <w:rFonts w:cs="Arial"/>
          <w:i/>
          <w:color w:val="0D0D0D"/>
          <w:sz w:val="18"/>
          <w:szCs w:val="18"/>
          <w:lang w:val="hu-HU"/>
        </w:rPr>
        <w:t xml:space="preserve">n </w:t>
      </w:r>
      <w:r w:rsidR="00425C14">
        <w:rPr>
          <w:rFonts w:cs="Arial"/>
          <w:i/>
          <w:color w:val="0D0D0D"/>
          <w:sz w:val="18"/>
          <w:szCs w:val="18"/>
          <w:lang w:val="hu-HU"/>
        </w:rPr>
        <w:t xml:space="preserve">41,2 </w:t>
      </w:r>
      <w:r>
        <w:rPr>
          <w:rFonts w:cs="Arial"/>
          <w:i/>
          <w:color w:val="0D0D0D"/>
          <w:sz w:val="18"/>
          <w:szCs w:val="18"/>
          <w:lang w:val="hu-HU"/>
        </w:rPr>
        <w:t>milliárd, 201</w:t>
      </w:r>
      <w:r w:rsidR="00425C14">
        <w:rPr>
          <w:rFonts w:cs="Arial"/>
          <w:i/>
          <w:color w:val="0D0D0D"/>
          <w:sz w:val="18"/>
          <w:szCs w:val="18"/>
          <w:lang w:val="hu-HU"/>
        </w:rPr>
        <w:t>5</w:t>
      </w:r>
      <w:r>
        <w:rPr>
          <w:rFonts w:cs="Arial"/>
          <w:i/>
          <w:color w:val="0D0D0D"/>
          <w:sz w:val="18"/>
          <w:szCs w:val="18"/>
          <w:lang w:val="hu-HU"/>
        </w:rPr>
        <w:t>-ben pedig 4</w:t>
      </w:r>
      <w:r w:rsidR="00425C14">
        <w:rPr>
          <w:rFonts w:cs="Arial"/>
          <w:i/>
          <w:color w:val="0D0D0D"/>
          <w:sz w:val="18"/>
          <w:szCs w:val="18"/>
          <w:lang w:val="hu-HU"/>
        </w:rPr>
        <w:t>6</w:t>
      </w:r>
      <w:r>
        <w:rPr>
          <w:rFonts w:cs="Arial"/>
          <w:i/>
          <w:color w:val="0D0D0D"/>
          <w:sz w:val="18"/>
          <w:szCs w:val="18"/>
          <w:lang w:val="hu-HU"/>
        </w:rPr>
        <w:t>,</w:t>
      </w:r>
      <w:r w:rsidR="00425C14">
        <w:rPr>
          <w:rFonts w:cs="Arial"/>
          <w:i/>
          <w:color w:val="0D0D0D"/>
          <w:sz w:val="18"/>
          <w:szCs w:val="18"/>
          <w:lang w:val="hu-HU"/>
        </w:rPr>
        <w:t>6</w:t>
      </w:r>
      <w:r>
        <w:rPr>
          <w:rFonts w:cs="Arial"/>
          <w:i/>
          <w:color w:val="0D0D0D"/>
          <w:sz w:val="18"/>
          <w:szCs w:val="18"/>
          <w:lang w:val="hu-HU"/>
        </w:rPr>
        <w:t xml:space="preserve"> milliárd forint volt.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 xml:space="preserve">A cégcsoport 50 hazai önkormányzat több létesítményét, 85 állami és középületet, 28 egészségügyi intézményt és 31 ipari telephelyet lát el energiával. Emellett a magyarországi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Veolia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csoport által üzemeltetett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távhőszolgáltatók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11 városban immár 12 ezer lakás távfűtéséről gondoskodnak, miközben országszerte további 109 000 lakossági és intézményi ügyfél számára termelnek hőenergiát.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 xml:space="preserve">Az országos kiterjedésű cégcsoport energetikai szolgáltatások üzletága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hőtermelő-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és elosztó rendszerek üzemeltetését végzi önkormányzatok, költségvetési szervek és a magánszektor számára, de tevékenységi körébe tartozik ezen felül a teljes körű létesítmény-üzemeltetés és az ipari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outsourcing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is.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 xml:space="preserve">A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Veolia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Energia Magyarország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Zrt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. éves hőenergia-termelése meghaladja </w:t>
      </w:r>
      <w:proofErr w:type="gramStart"/>
      <w:r>
        <w:rPr>
          <w:rFonts w:cs="Arial"/>
          <w:i/>
          <w:color w:val="0D0D0D"/>
          <w:sz w:val="18"/>
          <w:szCs w:val="18"/>
          <w:lang w:val="hu-HU"/>
        </w:rPr>
        <w:t>a</w:t>
      </w:r>
      <w:proofErr w:type="gramEnd"/>
      <w:r>
        <w:rPr>
          <w:rFonts w:cs="Arial"/>
          <w:i/>
          <w:color w:val="0D0D0D"/>
          <w:sz w:val="18"/>
          <w:szCs w:val="18"/>
          <w:lang w:val="hu-HU"/>
        </w:rPr>
        <w:t xml:space="preserve"> </w:t>
      </w:r>
      <w:r w:rsidR="00425C14">
        <w:rPr>
          <w:rFonts w:cs="Arial"/>
          <w:i/>
          <w:color w:val="0D0D0D"/>
          <w:sz w:val="18"/>
          <w:szCs w:val="18"/>
          <w:lang w:val="hu-HU"/>
        </w:rPr>
        <w:t>56</w:t>
      </w:r>
      <w:r>
        <w:rPr>
          <w:rFonts w:cs="Arial"/>
          <w:i/>
          <w:color w:val="0D0D0D"/>
          <w:sz w:val="18"/>
          <w:szCs w:val="18"/>
          <w:lang w:val="hu-HU"/>
        </w:rPr>
        <w:t xml:space="preserve">00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terajoule-t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, és évente több mint </w:t>
      </w:r>
      <w:r w:rsidR="00425C14">
        <w:rPr>
          <w:rFonts w:cs="Arial"/>
          <w:i/>
          <w:color w:val="0D0D0D"/>
          <w:sz w:val="18"/>
          <w:szCs w:val="18"/>
          <w:lang w:val="hu-HU"/>
        </w:rPr>
        <w:t>6</w:t>
      </w:r>
      <w:r>
        <w:rPr>
          <w:rFonts w:cs="Arial"/>
          <w:i/>
          <w:color w:val="0D0D0D"/>
          <w:sz w:val="18"/>
          <w:szCs w:val="18"/>
          <w:lang w:val="hu-HU"/>
        </w:rPr>
        <w:t>00 gigawattóra villamos energiát állít elő, továbbá egy mára 42 gázmotorból álló, összesen 65 megawatt kapacitású virtuális erőművet kitevő országos rendszert üzemeltet.</w:t>
      </w:r>
    </w:p>
    <w:p w:rsidR="00DF45D3" w:rsidRDefault="00DF45D3" w:rsidP="007B6085">
      <w:pPr>
        <w:spacing w:after="120" w:line="240" w:lineRule="auto"/>
        <w:rPr>
          <w:rFonts w:cs="Arial"/>
          <w:i/>
          <w:color w:val="0D0D0D"/>
          <w:sz w:val="18"/>
          <w:szCs w:val="18"/>
          <w:lang w:val="hu-HU"/>
        </w:rPr>
      </w:pPr>
      <w:r>
        <w:rPr>
          <w:rFonts w:cs="Arial"/>
          <w:i/>
          <w:color w:val="0D0D0D"/>
          <w:sz w:val="18"/>
          <w:szCs w:val="18"/>
          <w:lang w:val="hu-HU"/>
        </w:rPr>
        <w:t xml:space="preserve">A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Veolia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Energia Magyarország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Zrt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.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erőművi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üzletágának öt egységében (a Pannonpower pécsi erőműve, a Dorogi Erőmű, a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Kőbányahő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Kft., a Tiszántúli </w:t>
      </w:r>
      <w:proofErr w:type="spellStart"/>
      <w:r>
        <w:rPr>
          <w:rFonts w:cs="Arial"/>
          <w:i/>
          <w:color w:val="0D0D0D"/>
          <w:sz w:val="18"/>
          <w:szCs w:val="18"/>
          <w:lang w:val="hu-HU"/>
        </w:rPr>
        <w:t>Hőtermelő</w:t>
      </w:r>
      <w:proofErr w:type="spellEnd"/>
      <w:r>
        <w:rPr>
          <w:rFonts w:cs="Arial"/>
          <w:i/>
          <w:color w:val="0D0D0D"/>
          <w:sz w:val="18"/>
          <w:szCs w:val="18"/>
          <w:lang w:val="hu-HU"/>
        </w:rPr>
        <w:t xml:space="preserve"> Kft. debreceni és nyíregyházi erőművei) magas hatásfokú földgáztüzelésű és megújuló energiát – biomasszát – felhasználó blokkok működnek, ezzel is tükrözve a cégcsoport környezetbarát energiatermelés iránti elkötelezettségét.</w:t>
      </w:r>
    </w:p>
    <w:p w:rsidR="00DF45D3" w:rsidRDefault="00DF45D3" w:rsidP="007B6085">
      <w:pPr>
        <w:spacing w:after="120" w:line="240" w:lineRule="auto"/>
        <w:rPr>
          <w:rFonts w:ascii="Calibri" w:hAnsi="Calibri" w:cs="Arial"/>
          <w:color w:val="0D0D0D"/>
          <w:sz w:val="22"/>
          <w:szCs w:val="22"/>
          <w:lang w:val="hu-HU"/>
        </w:rPr>
      </w:pPr>
      <w:r>
        <w:rPr>
          <w:rFonts w:ascii="Calibri" w:hAnsi="Calibri" w:cs="Arial"/>
          <w:color w:val="0D0D0D"/>
          <w:sz w:val="22"/>
          <w:szCs w:val="22"/>
          <w:lang w:val="hu-HU"/>
        </w:rPr>
        <w:t>***</w:t>
      </w:r>
    </w:p>
    <w:p w:rsidR="0043417B" w:rsidRPr="00FC0E77" w:rsidRDefault="0043417B" w:rsidP="0043417B">
      <w:pPr>
        <w:spacing w:after="120" w:line="240" w:lineRule="auto"/>
        <w:rPr>
          <w:rFonts w:ascii="Calibri" w:hAnsi="Calibri" w:cs="Arial"/>
          <w:color w:val="0D0D0D"/>
          <w:sz w:val="22"/>
          <w:szCs w:val="22"/>
          <w:lang w:val="hu-HU"/>
        </w:rPr>
      </w:pPr>
    </w:p>
    <w:tbl>
      <w:tblPr>
        <w:tblpPr w:leftFromText="141" w:rightFromText="141" w:vertAnchor="text" w:horzAnchor="margin" w:tblpY="187"/>
        <w:tblW w:w="9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571"/>
        <w:gridCol w:w="5566"/>
      </w:tblGrid>
      <w:tr w:rsidR="0043417B" w:rsidRPr="00D9567A" w:rsidTr="00FF3373">
        <w:trPr>
          <w:trHeight w:hRule="exact" w:val="433"/>
        </w:trPr>
        <w:tc>
          <w:tcPr>
            <w:tcW w:w="9991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:rsidR="0043417B" w:rsidRPr="00D9567A" w:rsidRDefault="0043417B" w:rsidP="00FF3373">
            <w:pPr>
              <w:pStyle w:val="Titrecontacts"/>
              <w:framePr w:w="0" w:hRule="auto" w:wrap="auto" w:hAnchor="text" w:xAlign="left" w:yAlign="inline" w:anchorLock="0"/>
              <w:spacing w:after="120" w:line="240" w:lineRule="auto"/>
              <w:rPr>
                <w:sz w:val="20"/>
                <w:lang w:val="hu-HU"/>
              </w:rPr>
            </w:pPr>
            <w:r w:rsidRPr="00D9567A">
              <w:rPr>
                <w:sz w:val="20"/>
                <w:lang w:val="hu-HU"/>
              </w:rPr>
              <w:t>További információ</w:t>
            </w:r>
          </w:p>
        </w:tc>
      </w:tr>
      <w:tr w:rsidR="0043417B" w:rsidRPr="00D9567A" w:rsidTr="00FF3373">
        <w:trPr>
          <w:trHeight w:hRule="exact" w:val="162"/>
        </w:trPr>
        <w:tc>
          <w:tcPr>
            <w:tcW w:w="9991" w:type="dxa"/>
            <w:gridSpan w:val="3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:rsidR="0043417B" w:rsidRPr="00D9567A" w:rsidRDefault="0043417B" w:rsidP="00FF3373">
            <w:pPr>
              <w:spacing w:after="120" w:line="240" w:lineRule="auto"/>
              <w:rPr>
                <w:lang w:val="hu-HU"/>
              </w:rPr>
            </w:pPr>
          </w:p>
        </w:tc>
      </w:tr>
      <w:tr w:rsidR="0043417B" w:rsidRPr="00D9567A" w:rsidTr="00FF3373">
        <w:trPr>
          <w:trHeight w:val="864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7B" w:rsidRPr="00D9567A" w:rsidRDefault="0043417B" w:rsidP="00FF3373">
            <w:pPr>
              <w:pStyle w:val="Textecontacts"/>
              <w:framePr w:w="0" w:hRule="auto" w:wrap="auto" w:hAnchor="text" w:xAlign="left" w:yAlign="inline" w:anchorLock="0"/>
              <w:spacing w:after="120" w:line="240" w:lineRule="auto"/>
              <w:jc w:val="both"/>
              <w:rPr>
                <w:rStyle w:val="Textebold"/>
                <w:color w:val="262626"/>
                <w:sz w:val="20"/>
                <w:lang w:val="hu-HU"/>
              </w:rPr>
            </w:pPr>
            <w:r w:rsidRPr="00D9567A">
              <w:rPr>
                <w:rFonts w:cs="Arial"/>
                <w:i/>
                <w:iCs/>
                <w:color w:val="262626"/>
                <w:sz w:val="20"/>
                <w:szCs w:val="18"/>
                <w:lang w:val="hu-HU"/>
              </w:rPr>
              <w:t>Németh Gergely</w:t>
            </w:r>
          </w:p>
          <w:p w:rsidR="0043417B" w:rsidRPr="00D9567A" w:rsidRDefault="00BB33F1" w:rsidP="00FF3373">
            <w:pPr>
              <w:pStyle w:val="Textecontacts"/>
              <w:framePr w:w="0" w:hRule="auto" w:wrap="auto" w:hAnchor="text" w:xAlign="left" w:yAlign="inline" w:anchorLock="0"/>
              <w:spacing w:after="120" w:line="240" w:lineRule="auto"/>
              <w:jc w:val="both"/>
              <w:rPr>
                <w:rStyle w:val="Textebold"/>
                <w:rFonts w:cs="Arial"/>
                <w:b w:val="0"/>
                <w:i/>
                <w:iCs/>
                <w:color w:val="262626"/>
                <w:sz w:val="20"/>
                <w:szCs w:val="18"/>
                <w:lang w:val="hu-HU"/>
              </w:rPr>
            </w:pPr>
            <w:hyperlink r:id="rId7" w:history="1">
              <w:r w:rsidR="0043417B" w:rsidRPr="00D9567A">
                <w:rPr>
                  <w:rStyle w:val="Hiperhivatkozs"/>
                  <w:rFonts w:cs="Arial"/>
                  <w:i/>
                  <w:iCs/>
                  <w:color w:val="262626"/>
                  <w:sz w:val="20"/>
                  <w:szCs w:val="18"/>
                  <w:lang w:val="hu-HU"/>
                </w:rPr>
                <w:t>gergely.nemeth@goodwillcom.hu</w:t>
              </w:r>
            </w:hyperlink>
          </w:p>
          <w:p w:rsidR="0043417B" w:rsidRPr="00D9567A" w:rsidRDefault="0043417B" w:rsidP="00FC0E77">
            <w:pPr>
              <w:pStyle w:val="Textecontacts"/>
              <w:framePr w:w="0" w:hRule="auto" w:wrap="auto" w:hAnchor="text" w:xAlign="left" w:yAlign="inline" w:anchorLock="0"/>
              <w:spacing w:after="120" w:line="240" w:lineRule="auto"/>
              <w:rPr>
                <w:sz w:val="20"/>
                <w:lang w:val="hu-HU"/>
              </w:rPr>
            </w:pPr>
            <w:r w:rsidRPr="00D9567A">
              <w:rPr>
                <w:rFonts w:cs="Arial"/>
                <w:i/>
                <w:iCs/>
                <w:color w:val="262626"/>
                <w:sz w:val="20"/>
                <w:szCs w:val="18"/>
                <w:lang w:val="hu-HU"/>
              </w:rPr>
              <w:t>+36 70 377 1330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3417B" w:rsidRPr="00D9567A" w:rsidRDefault="0043417B" w:rsidP="00FF3373">
            <w:pPr>
              <w:spacing w:after="120" w:line="240" w:lineRule="auto"/>
              <w:rPr>
                <w:lang w:val="hu-HU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7B" w:rsidRPr="00D9567A" w:rsidRDefault="0043417B" w:rsidP="00FF3373">
            <w:pPr>
              <w:pStyle w:val="Textecontacts"/>
              <w:framePr w:w="0" w:hRule="auto" w:wrap="auto" w:hAnchor="text" w:xAlign="left" w:yAlign="inline" w:anchorLock="0"/>
              <w:spacing w:after="120" w:line="240" w:lineRule="auto"/>
              <w:rPr>
                <w:sz w:val="20"/>
                <w:lang w:val="hu-HU"/>
              </w:rPr>
            </w:pPr>
          </w:p>
        </w:tc>
      </w:tr>
    </w:tbl>
    <w:p w:rsidR="000D2437" w:rsidRDefault="000D2437"/>
    <w:sectPr w:rsidR="000D2437" w:rsidSect="000D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977A8"/>
    <w:multiLevelType w:val="hybridMultilevel"/>
    <w:tmpl w:val="7D12B066"/>
    <w:lvl w:ilvl="0" w:tplc="0988E4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7"/>
    <w:rsid w:val="00004C89"/>
    <w:rsid w:val="0002580A"/>
    <w:rsid w:val="00025F65"/>
    <w:rsid w:val="00032FD4"/>
    <w:rsid w:val="000367A1"/>
    <w:rsid w:val="00046DB0"/>
    <w:rsid w:val="00066DAA"/>
    <w:rsid w:val="00090C1E"/>
    <w:rsid w:val="00093727"/>
    <w:rsid w:val="00097893"/>
    <w:rsid w:val="000B229B"/>
    <w:rsid w:val="000D1059"/>
    <w:rsid w:val="000D2437"/>
    <w:rsid w:val="000E1540"/>
    <w:rsid w:val="000E5A16"/>
    <w:rsid w:val="000F19AC"/>
    <w:rsid w:val="0012095E"/>
    <w:rsid w:val="00132585"/>
    <w:rsid w:val="00134D72"/>
    <w:rsid w:val="00137DA2"/>
    <w:rsid w:val="00151600"/>
    <w:rsid w:val="00166E8C"/>
    <w:rsid w:val="001702CA"/>
    <w:rsid w:val="00177FA2"/>
    <w:rsid w:val="001D2ACF"/>
    <w:rsid w:val="00200450"/>
    <w:rsid w:val="00235BED"/>
    <w:rsid w:val="00267948"/>
    <w:rsid w:val="0027657E"/>
    <w:rsid w:val="002823DE"/>
    <w:rsid w:val="0028600E"/>
    <w:rsid w:val="00292CA3"/>
    <w:rsid w:val="002966EA"/>
    <w:rsid w:val="002A74EA"/>
    <w:rsid w:val="002B72A9"/>
    <w:rsid w:val="002D5FA6"/>
    <w:rsid w:val="003031D6"/>
    <w:rsid w:val="00362DE4"/>
    <w:rsid w:val="00366468"/>
    <w:rsid w:val="00373F79"/>
    <w:rsid w:val="003C704A"/>
    <w:rsid w:val="003D5AA8"/>
    <w:rsid w:val="003F6F33"/>
    <w:rsid w:val="00402F76"/>
    <w:rsid w:val="004152AA"/>
    <w:rsid w:val="00425C14"/>
    <w:rsid w:val="0043417B"/>
    <w:rsid w:val="00441624"/>
    <w:rsid w:val="004774CF"/>
    <w:rsid w:val="004C0F12"/>
    <w:rsid w:val="004D03F0"/>
    <w:rsid w:val="004D2B70"/>
    <w:rsid w:val="004D51D4"/>
    <w:rsid w:val="004F2BDD"/>
    <w:rsid w:val="004F543B"/>
    <w:rsid w:val="00503DBF"/>
    <w:rsid w:val="00520F67"/>
    <w:rsid w:val="0052288A"/>
    <w:rsid w:val="00524488"/>
    <w:rsid w:val="005316F5"/>
    <w:rsid w:val="00553D1B"/>
    <w:rsid w:val="00581276"/>
    <w:rsid w:val="005A5AE7"/>
    <w:rsid w:val="005C1305"/>
    <w:rsid w:val="005C49AC"/>
    <w:rsid w:val="006925D0"/>
    <w:rsid w:val="006A4E5D"/>
    <w:rsid w:val="006A7FB8"/>
    <w:rsid w:val="006B70A1"/>
    <w:rsid w:val="006D7BDB"/>
    <w:rsid w:val="006F4C3D"/>
    <w:rsid w:val="00712DCB"/>
    <w:rsid w:val="00720349"/>
    <w:rsid w:val="0072234A"/>
    <w:rsid w:val="00723DD7"/>
    <w:rsid w:val="00726646"/>
    <w:rsid w:val="00750B2B"/>
    <w:rsid w:val="0078672D"/>
    <w:rsid w:val="007B6085"/>
    <w:rsid w:val="007B6A9E"/>
    <w:rsid w:val="008203B2"/>
    <w:rsid w:val="00822357"/>
    <w:rsid w:val="0086651D"/>
    <w:rsid w:val="00890218"/>
    <w:rsid w:val="00896ED4"/>
    <w:rsid w:val="008B0B8E"/>
    <w:rsid w:val="008B0E52"/>
    <w:rsid w:val="008B2CD1"/>
    <w:rsid w:val="008D465D"/>
    <w:rsid w:val="00914D2F"/>
    <w:rsid w:val="0092239E"/>
    <w:rsid w:val="00924E1F"/>
    <w:rsid w:val="009467BF"/>
    <w:rsid w:val="009642C3"/>
    <w:rsid w:val="00965327"/>
    <w:rsid w:val="009846FE"/>
    <w:rsid w:val="009A3E9A"/>
    <w:rsid w:val="009C3595"/>
    <w:rsid w:val="00A15571"/>
    <w:rsid w:val="00A3167A"/>
    <w:rsid w:val="00A43EF1"/>
    <w:rsid w:val="00A639BC"/>
    <w:rsid w:val="00A72225"/>
    <w:rsid w:val="00A73408"/>
    <w:rsid w:val="00AA6E50"/>
    <w:rsid w:val="00AC131E"/>
    <w:rsid w:val="00AC378D"/>
    <w:rsid w:val="00AE58AF"/>
    <w:rsid w:val="00AE7B47"/>
    <w:rsid w:val="00AF0368"/>
    <w:rsid w:val="00B06090"/>
    <w:rsid w:val="00B21449"/>
    <w:rsid w:val="00B21A01"/>
    <w:rsid w:val="00B450F3"/>
    <w:rsid w:val="00B468A8"/>
    <w:rsid w:val="00B570D8"/>
    <w:rsid w:val="00B82260"/>
    <w:rsid w:val="00B960A8"/>
    <w:rsid w:val="00BB33F1"/>
    <w:rsid w:val="00BC5018"/>
    <w:rsid w:val="00BD1996"/>
    <w:rsid w:val="00BF2D15"/>
    <w:rsid w:val="00C06755"/>
    <w:rsid w:val="00C17E64"/>
    <w:rsid w:val="00C25AB9"/>
    <w:rsid w:val="00C25B9C"/>
    <w:rsid w:val="00C329F1"/>
    <w:rsid w:val="00CA4B47"/>
    <w:rsid w:val="00CB1E06"/>
    <w:rsid w:val="00CD699B"/>
    <w:rsid w:val="00CE1299"/>
    <w:rsid w:val="00D015EE"/>
    <w:rsid w:val="00D075C3"/>
    <w:rsid w:val="00D26C4C"/>
    <w:rsid w:val="00D51DDC"/>
    <w:rsid w:val="00DA6C14"/>
    <w:rsid w:val="00DC6065"/>
    <w:rsid w:val="00DE1EA0"/>
    <w:rsid w:val="00DF3C98"/>
    <w:rsid w:val="00DF45D3"/>
    <w:rsid w:val="00DF4948"/>
    <w:rsid w:val="00DF7471"/>
    <w:rsid w:val="00E25767"/>
    <w:rsid w:val="00E40480"/>
    <w:rsid w:val="00E61589"/>
    <w:rsid w:val="00E71857"/>
    <w:rsid w:val="00EE2192"/>
    <w:rsid w:val="00F225CB"/>
    <w:rsid w:val="00F84F8D"/>
    <w:rsid w:val="00F8507F"/>
    <w:rsid w:val="00F86093"/>
    <w:rsid w:val="00FA4CC9"/>
    <w:rsid w:val="00FC0E77"/>
    <w:rsid w:val="00FC2EA2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959E-890E-4D8C-ACCD-81BE96C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417B"/>
    <w:pPr>
      <w:spacing w:after="0" w:afterAutospacing="0" w:line="240" w:lineRule="atLeast"/>
    </w:pPr>
    <w:rPr>
      <w:rFonts w:ascii="Arial" w:eastAsia="SimSun" w:hAnsi="Arial" w:cs="Times New Roman"/>
      <w:color w:val="333333"/>
      <w:sz w:val="20"/>
      <w:szCs w:val="24"/>
      <w:lang w:val="en-US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3417B"/>
    <w:pPr>
      <w:keepNext/>
      <w:spacing w:line="696" w:lineRule="exac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3417B"/>
    <w:rPr>
      <w:rFonts w:ascii="Cambria" w:eastAsia="SimSun" w:hAnsi="Cambria" w:cs="Times New Roman"/>
      <w:b/>
      <w:color w:val="333333"/>
      <w:kern w:val="32"/>
      <w:sz w:val="32"/>
      <w:szCs w:val="20"/>
      <w:lang w:val="en-US" w:eastAsia="zh-CN"/>
    </w:rPr>
  </w:style>
  <w:style w:type="paragraph" w:customStyle="1" w:styleId="Dateetsous-titre">
    <w:name w:val="Date et sous-titre"/>
    <w:basedOn w:val="Norml"/>
    <w:uiPriority w:val="99"/>
    <w:rsid w:val="0043417B"/>
    <w:pPr>
      <w:spacing w:line="408" w:lineRule="atLeast"/>
    </w:pPr>
    <w:rPr>
      <w:color w:val="FFFFFF"/>
      <w:sz w:val="34"/>
      <w:szCs w:val="42"/>
    </w:rPr>
  </w:style>
  <w:style w:type="character" w:customStyle="1" w:styleId="Textebold">
    <w:name w:val="Texte bold"/>
    <w:uiPriority w:val="99"/>
    <w:rsid w:val="0043417B"/>
    <w:rPr>
      <w:b/>
    </w:rPr>
  </w:style>
  <w:style w:type="paragraph" w:customStyle="1" w:styleId="Titrecontacts">
    <w:name w:val="Titre contacts"/>
    <w:basedOn w:val="Norml"/>
    <w:uiPriority w:val="99"/>
    <w:rsid w:val="0043417B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l"/>
    <w:uiPriority w:val="99"/>
    <w:rsid w:val="0043417B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character" w:styleId="Hiperhivatkozs">
    <w:name w:val="Hyperlink"/>
    <w:uiPriority w:val="99"/>
    <w:rsid w:val="0043417B"/>
    <w:rPr>
      <w:rFonts w:cs="Times New Roman"/>
      <w:color w:val="0000FF"/>
      <w:u w:val="single"/>
    </w:rPr>
  </w:style>
  <w:style w:type="paragraph" w:customStyle="1" w:styleId="normal-header">
    <w:name w:val="normal - header"/>
    <w:basedOn w:val="Norml"/>
    <w:qFormat/>
    <w:rsid w:val="00DF7471"/>
    <w:pPr>
      <w:tabs>
        <w:tab w:val="left" w:pos="5670"/>
        <w:tab w:val="center" w:pos="6804"/>
      </w:tabs>
      <w:spacing w:line="300" w:lineRule="auto"/>
      <w:ind w:firstLine="1134"/>
    </w:pPr>
    <w:rPr>
      <w:rFonts w:eastAsiaTheme="minorHAnsi" w:cstheme="minorHAnsi"/>
      <w:color w:val="404040" w:themeColor="text1" w:themeTint="BF"/>
      <w:lang w:val="hu-HU" w:eastAsia="en-US"/>
    </w:rPr>
  </w:style>
  <w:style w:type="paragraph" w:styleId="Listaszerbekezds">
    <w:name w:val="List Paragraph"/>
    <w:basedOn w:val="Norml"/>
    <w:uiPriority w:val="34"/>
    <w:qFormat/>
    <w:rsid w:val="00441624"/>
    <w:pPr>
      <w:ind w:left="720"/>
      <w:contextualSpacing/>
    </w:pPr>
  </w:style>
  <w:style w:type="character" w:customStyle="1" w:styleId="ff2">
    <w:name w:val="ff2"/>
    <w:rsid w:val="007B6085"/>
  </w:style>
  <w:style w:type="character" w:styleId="Jegyzethivatkozs">
    <w:name w:val="annotation reference"/>
    <w:basedOn w:val="Bekezdsalapbettpusa"/>
    <w:uiPriority w:val="99"/>
    <w:semiHidden/>
    <w:unhideWhenUsed/>
    <w:rsid w:val="00AC13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131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131E"/>
    <w:rPr>
      <w:rFonts w:ascii="Arial" w:eastAsia="SimSun" w:hAnsi="Arial" w:cs="Times New Roman"/>
      <w:color w:val="333333"/>
      <w:sz w:val="20"/>
      <w:szCs w:val="20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3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31E"/>
    <w:rPr>
      <w:rFonts w:ascii="Arial" w:eastAsia="SimSun" w:hAnsi="Arial" w:cs="Times New Roman"/>
      <w:b/>
      <w:bCs/>
      <w:color w:val="333333"/>
      <w:sz w:val="20"/>
      <w:szCs w:val="20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1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31E"/>
    <w:rPr>
      <w:rFonts w:ascii="Tahoma" w:eastAsia="SimSun" w:hAnsi="Tahoma" w:cs="Tahoma"/>
      <w:color w:val="333333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gely.nemeth@goodwillc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Sárvári Marcell</dc:creator>
  <cp:lastModifiedBy>Németh I. Gergely</cp:lastModifiedBy>
  <cp:revision>5</cp:revision>
  <cp:lastPrinted>2016-06-01T11:26:00Z</cp:lastPrinted>
  <dcterms:created xsi:type="dcterms:W3CDTF">2016-06-02T15:12:00Z</dcterms:created>
  <dcterms:modified xsi:type="dcterms:W3CDTF">2016-06-06T07:09:00Z</dcterms:modified>
</cp:coreProperties>
</file>